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sz w:val="60"/>
          <w:szCs w:val="60"/>
          <w:rtl w:val="0"/>
        </w:rPr>
        <w:t xml:space="preserve">   GASTRONOMIA</w:t>
      </w:r>
    </w:p>
    <w:p w:rsidR="00000000" w:rsidDel="00000000" w:rsidP="00000000" w:rsidRDefault="00000000" w:rsidRPr="00000000">
      <w:pPr>
        <w:pBdr/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60"/>
          <w:szCs w:val="60"/>
        </w:rPr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Amatxo zer ordu da?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hirurak joteko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esan aita zer dago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gero afaltzeko?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Hori bokadilua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nik merendatzeko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jatea da onena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josea hiltzeko.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Kalera irtetzean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kriston inbidia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ahotik lurreraino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jauzi jat lerdia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Nun erosi duGorkak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hain boio handia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emaidazu laguntxo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  <w:sectPr>
          <w:type w:val="continuous"/>
          <w:pgSz w:h="16834" w:w="11909"/>
          <w:pgMar w:bottom="1440" w:top="1440" w:left="1440" w:right="1440" w:header="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sz w:val="36"/>
          <w:szCs w:val="36"/>
          <w:rtl w:val="0"/>
        </w:rPr>
        <w:t xml:space="preserve">mesedez erdia.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Georgia" w:cs="Georgia" w:eastAsia="Georgia" w:hAnsi="Georgia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Georgia" w:cs="Georgia" w:eastAsia="Georgia" w:hAnsi="Georgia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Georgia" w:cs="Georgia" w:eastAsia="Georgia" w:hAnsi="Georgia"/>
          <w:b w:val="1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sz w:val="60"/>
          <w:szCs w:val="60"/>
          <w:rtl w:val="0"/>
        </w:rPr>
        <w:t xml:space="preserve">TXIKILIN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