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ENE, OPORRAK!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Karnabalak pasauta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aste satuak be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ikastolako bueltan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zein amaigabe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ikasi eta abar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nago etengabe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horrela egoteko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Karibean hobe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Bi hilabete barru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uda datorkigu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gozoki, izozkiak…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gustatzen zaizkigu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hondar ta olatutan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disfrutatzen dugu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ez bukatzeko inoiz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eskatzen dizugu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Lagunekin batera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berriro klasera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kurtso berria hasi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uda agurtzera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kontzentratu berriro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ta aprobatzera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dena ahaztu dut nik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Urteroko bera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Doinua: Amerikatara joan nintzen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