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Eroskira joan nintzen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han zegoen bero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ta ogitartekoa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nik jango dut gero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Tomatea, patatak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letxug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a e</w:t>
      </w:r>
      <w:r w:rsidDel="00000000" w:rsidR="00000000" w:rsidRPr="00000000">
        <w:rPr>
          <w:sz w:val="20"/>
          <w:szCs w:val="20"/>
          <w:rtl w:val="0"/>
        </w:rPr>
        <w:t xml:space="preserve">t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a o</w:t>
      </w:r>
      <w:r w:rsidDel="00000000" w:rsidR="00000000" w:rsidRPr="00000000">
        <w:rPr>
          <w:sz w:val="20"/>
          <w:szCs w:val="20"/>
          <w:rtl w:val="0"/>
        </w:rPr>
        <w:t xml:space="preserve">gia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dira gaur eguardiko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nire bazkaria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Oso ona zegoen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den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a h</w:t>
      </w:r>
      <w:r w:rsidDel="00000000" w:rsidR="00000000" w:rsidRPr="00000000">
        <w:rPr>
          <w:sz w:val="20"/>
          <w:szCs w:val="20"/>
          <w:rtl w:val="0"/>
        </w:rPr>
        <w:t xml:space="preserve">and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i h</w:t>
      </w:r>
      <w:r w:rsidDel="00000000" w:rsidR="00000000" w:rsidRPr="00000000">
        <w:rPr>
          <w:sz w:val="20"/>
          <w:szCs w:val="20"/>
          <w:rtl w:val="0"/>
        </w:rPr>
        <w:t xml:space="preserve">andia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txarra zegoen bakarra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atzoko ogia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Postrerako banuen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Rioja</w:t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